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21242301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CB3C1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13D4D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813D4D">
        <w:rPr>
          <w:rFonts w:ascii="Century Gothic" w:hAnsi="Century Gothic"/>
          <w:b/>
          <w:sz w:val="24"/>
          <w:szCs w:val="24"/>
        </w:rPr>
        <w:t xml:space="preserve">once de febrero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Aprobación de Sentencias 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13D4D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13D4D">
        <w:rPr>
          <w:rFonts w:ascii="Century Gothic" w:hAnsi="Century Gothic"/>
          <w:b/>
          <w:sz w:val="24"/>
          <w:szCs w:val="24"/>
        </w:rPr>
        <w:t xml:space="preserve">DIEZ DE FEBRERO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</w:t>
      </w:r>
      <w:bookmarkStart w:id="0" w:name="_GoBack"/>
      <w:bookmarkEnd w:id="0"/>
      <w:r w:rsidR="003306AB">
        <w:rPr>
          <w:rFonts w:ascii="Century Gothic" w:hAnsi="Century Gothic"/>
          <w:b/>
          <w:sz w:val="24"/>
          <w:szCs w:val="24"/>
        </w:rPr>
        <w:t>EZ GUTIÉRREZ</w:t>
      </w:r>
      <w:permEnd w:id="921242301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31BDD75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2E4D-4ADA-456B-AA34-A0E282F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2021-02-10T23:10:00Z</dcterms:created>
  <dcterms:modified xsi:type="dcterms:W3CDTF">2021-02-10T23:12:00Z</dcterms:modified>
</cp:coreProperties>
</file>